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comments.xml" ContentType="application/vnd.openxmlformats-officedocument.wordprocessingml.comments+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72"/>
          <w:szCs w:val="72"/>
        </w:rPr>
      </w:pPr>
      <w:r/>
      <w:commentRangeStart w:id="0"/>
      <w:r>
        <w:rPr>
          <w:b/>
          <w:sz w:val="72"/>
          <w:szCs w:val="72"/>
          <w:rtl w:val="0"/>
        </w:rPr>
        <w:t xml:space="preserve"> FICHE ACTION VNE N°</w:t>
      </w:r>
      <w:r>
        <w:rPr>
          <w:b/>
          <w:sz w:val="72"/>
          <w:szCs w:val="72"/>
          <w:rtl w:val="0"/>
        </w:rPr>
        <w:t xml:space="preserve">6e</w:t>
      </w:r>
      <w:commentRangeEnd w:id="0"/>
      <w:r>
        <w:commentReference w:id="0"/>
      </w:r>
      <w:r>
        <w:rPr>
          <w:b/>
          <w:sz w:val="72"/>
          <w:szCs w:val="72"/>
        </w:rPr>
      </w:r>
      <w:r>
        <w:rPr>
          <w:b/>
          <w:sz w:val="72"/>
          <w:szCs w:val="72"/>
        </w:rPr>
      </w:r>
    </w:p>
    <w:p>
      <w:pPr>
        <w:pBdr/>
        <w:spacing/>
        <w:ind/>
        <w:jc w:val="center"/>
        <w:rPr>
          <w:b/>
          <w:sz w:val="10"/>
          <w:szCs w:val="10"/>
        </w:rPr>
      </w:pPr>
      <w:r>
        <w:rPr>
          <w:rtl w:val="0"/>
        </w:rPr>
      </w:r>
      <w:r>
        <w:rPr>
          <w:b/>
          <w:sz w:val="10"/>
          <w:szCs w:val="10"/>
        </w:rPr>
      </w:r>
      <w:r>
        <w:rPr>
          <w:b/>
          <w:sz w:val="10"/>
          <w:szCs w:val="10"/>
        </w:rPr>
      </w:r>
    </w:p>
    <w:tbl>
      <w:tblPr>
        <w:tblStyle w:val="913"/>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430271" cy="430271"/>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ic:nvPr/>
                            </pic:nvPicPr>
                            <pic:blipFill>
                              <a:blip r:embed="rId9"/>
                              <a:srcRect l="0" t="0" r="0" b="0"/>
                              <a:stretch/>
                            </pic:blipFill>
                            <pic:spPr bwMode="auto">
                              <a:xfrm>
                                <a:off x="0" y="0"/>
                                <a:ext cx="430271" cy="430271"/>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3.88pt;height:33.88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487780" cy="48778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10"/>
                              <a:srcRect l="0" t="0" r="0" b="0"/>
                              <a:stretch/>
                            </pic:blipFill>
                            <pic:spPr bwMode="auto">
                              <a:xfrm>
                                <a:off x="0" y="0"/>
                                <a:ext cx="487780" cy="48778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38.41pt;height:38.41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494983" cy="202493"/>
                      <wp:effectExtent l="0" t="0" r="0" b="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ic:nvPr/>
                            </pic:nvPicPr>
                            <pic:blipFill>
                              <a:blip r:embed="rId11"/>
                              <a:srcRect l="0" t="0" r="0" b="0"/>
                              <a:stretch/>
                            </pic:blipFill>
                            <pic:spPr bwMode="auto">
                              <a:xfrm>
                                <a:off x="0" y="0"/>
                                <a:ext cx="494982" cy="202493"/>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8.98pt;height:15.94pt;mso-wrap-distance-left:0.00pt;mso-wrap-distance-top:0.00pt;mso-wrap-distance-right:0.00pt;mso-wrap-distance-bottom:0.00pt;z-index:1;">
                      <v:imagedata r:id="rId11"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457b9d"/>
              </w:rPr>
            </w:pPr>
            <w:r>
              <w:rPr>
                <w:shd w:val="clear" w:color="auto" w:fill="457b9d"/>
                <w:rtl w:val="0"/>
              </w:rPr>
              <w:t xml:space="preserve">AXE II</w:t>
            </w:r>
            <w:r>
              <w:rPr>
                <w:shd w:val="clear" w:color="auto" w:fill="457b9d"/>
              </w:rPr>
            </w:r>
            <w:r>
              <w:rPr>
                <w:shd w:val="clear" w:color="auto" w:fill="457b9d"/>
              </w:rPr>
            </w:r>
          </w:p>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after="0" w:before="0" w:line="240" w:lineRule="auto"/>
              <w:ind/>
              <w:rPr/>
            </w:pPr>
            <w:r>
              <w:rPr>
                <w:rtl w:val="0"/>
              </w:rPr>
              <w:t xml:space="preserve">Validée par IeSS mais potentielle évolution sur le contenu selon CPAM</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En lien avec Innovation E-santé Sud, sensibiliser les médiateurs numériques  à "Mon Espace Santé"</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PILOTE(S) / PORTEUR(S)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Coordinateur des CoNums</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Coordinatrice des ambassadeurs “Mon Espace Santé” : délivre la formation</w:t>
              <w:br/>
            </w:r>
            <w:r>
              <w:rPr>
                <w:rtl w:val="0"/>
              </w:rPr>
              <w:t xml:space="preserve">CPAM : potentiellement en binôme avec MES</w:t>
            </w:r>
            <w:r>
              <w:rPr>
                <w:rtl w:val="0"/>
              </w:rP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textDirection w:val="lrTb"/>
            <w:noWrap w:val="false"/>
          </w:tcPr>
          <w:p>
            <w:pPr>
              <w:pBdr/>
              <w:spacing/>
              <w:ind/>
              <w:rPr/>
            </w:pPr>
            <w:r>
              <w:rPr>
                <w:rtl w:val="0"/>
              </w:rPr>
              <w:t xml:space="preserve">Médiateurs du Var (dont CoNum)</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Le nu</w:t>
            </w:r>
            <w:r>
              <w:rPr>
                <w:rtl w:val="0"/>
              </w:rPr>
              <w:t xml:space="preserve">mérique en santé est un sujet prégnant de ces dernières années. Comme de nombreux services dématérialisés, ceux qui sont en capacité de les utiliser bénéficient des avantages liés comme la disponibilité permanente, la gestion de documents automatisée, etc.</w:t>
            </w:r>
            <w:r/>
          </w:p>
          <w:p>
            <w:pPr>
              <w:pBdr/>
              <w:spacing w:after="0" w:before="0" w:line="240" w:lineRule="auto"/>
              <w:ind/>
              <w:jc w:val="both"/>
              <w:rPr/>
            </w:pPr>
            <w:r>
              <w:rPr>
                <w:rtl w:val="0"/>
              </w:rPr>
              <w:t xml:space="preserve">En revanche, les personnes éloi</w:t>
            </w:r>
            <w:r>
              <w:rPr>
                <w:rtl w:val="0"/>
              </w:rPr>
              <w:t xml:space="preserve">gnées du numérique se retrouvent aujourd’hui parfois confrontées à des professionnels de santé qui oublient que l’illectronisme est plus répandue qu’on peut le penser (30% de la population) et qui s’appuient sur des outils inutilisables par leurs usagers..</w:t>
            </w:r>
            <w:r/>
          </w:p>
          <w:p>
            <w:pPr>
              <w:pBdr/>
              <w:spacing w:after="0" w:before="0" w:line="240" w:lineRule="auto"/>
              <w:ind/>
              <w:jc w:val="both"/>
              <w:rPr>
                <w:highlight w:val="none"/>
              </w:rPr>
            </w:pPr>
            <w:r>
              <w:rPr>
                <w:rtl w:val="0"/>
              </w:rPr>
              <w:t xml:space="preserve">Parallèlement, certains usagers qui pourraient aisément se servir de ces outils ne sont pas au courant de leur existence.</w:t>
            </w:r>
            <w:r/>
          </w:p>
          <w:p>
            <w:pPr>
              <w:pBdr/>
              <w:spacing w:after="0" w:before="0" w:line="240" w:lineRule="auto"/>
              <w:ind/>
              <w:jc w:val="both"/>
              <w:rPr/>
            </w:pPr>
            <w:r>
              <w:rPr>
                <w:highlight w:val="none"/>
                <w:rtl w:val="0"/>
              </w:rPr>
              <w:t xml:space="preserve">Enfin il y a une obligation légale, renforcée dans le projet de loi finance de la sécurité sociale 2026, pour les professionnels de santé d’utiliser MES ce qui, de facto, va rendre l’utilisation pour les usagers nécessaires dans les années à venir.</w:t>
            </w:r>
            <w:r>
              <w:rPr>
                <w:highlight w:val="none"/>
                <w:rtl w:val="0"/>
              </w:rP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pBdr/>
              <w:spacing w:after="0" w:before="0" w:line="240" w:lineRule="auto"/>
              <w:ind/>
              <w:jc w:val="left"/>
              <w:rPr/>
            </w:pPr>
            <w:r>
              <w:rPr>
                <w:rtl w:val="0"/>
              </w:rPr>
              <w:t xml:space="preserve">Un premier enjeu d’information : le public doit prendre connaissance de l'existence de ces outils et des implica</w:t>
            </w:r>
            <w:r>
              <w:rPr>
                <w:rtl w:val="0"/>
              </w:rPr>
              <w:t xml:space="preserve">tions qui vont avec (données personnelles notamment). La bonne connaissance des usagers permettra de s’assurer qu’ils usent, ou pas, de ces outils en toute connaissance de cause. L’objectif final étant une adoption de ces outils facilitateurs du quotidien.</w:t>
            </w:r>
            <w:r/>
          </w:p>
          <w:p>
            <w:pPr>
              <w:pBdr/>
              <w:spacing w:after="0" w:before="0" w:line="240" w:lineRule="auto"/>
              <w:ind/>
              <w:jc w:val="left"/>
              <w:rPr/>
            </w:pPr>
            <w:r>
              <w:rPr>
                <w:rtl w:val="0"/>
              </w:rPr>
              <w:t xml:space="preserve">Un deuxième enjeu est lié à l’utilisation : les personnes souhaitant utiliser ces outils doivent pouvoir le faire, en étant formées si nécessaire.</w:t>
            </w:r>
            <w:r/>
          </w:p>
          <w:p>
            <w:pPr>
              <w:pBdr/>
              <w:spacing w:after="0" w:before="0" w:line="240" w:lineRule="auto"/>
              <w:ind/>
              <w:jc w:val="left"/>
              <w:rPr/>
            </w:pPr>
            <w:r>
              <w:rPr>
                <w:rtl w:val="0"/>
              </w:rPr>
              <w:t xml:space="preserve">Enfin, la mobilisation autour de cette séance de mobilisation et les résultats du bilan mené à terme permettra d’identifier des pistes pour développer un véritable parcours du numérique en santé.</w:t>
            </w: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27 : Forger une véritable filière de médiateurs numériques , par le lancement d'un plan national de formation et par une meilleure reconnaissance du métier de médiateur numérique en :</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8"/>
              </w:numPr>
              <w:pBdr/>
              <w:spacing/>
              <w:ind w:hanging="360" w:left="720"/>
              <w:rPr/>
            </w:pPr>
            <w:r>
              <w:rPr>
                <w:rtl w:val="0"/>
              </w:rPr>
              <w:t xml:space="preserve">Valider avec l’IeSS des modalités de formation</w:t>
            </w:r>
            <w:r/>
          </w:p>
          <w:p>
            <w:pPr>
              <w:numPr>
                <w:ilvl w:val="0"/>
                <w:numId w:val="8"/>
              </w:numPr>
              <w:pBdr/>
              <w:spacing/>
              <w:ind w:hanging="360" w:left="720"/>
              <w:rPr/>
            </w:pPr>
            <w:r>
              <w:rPr>
                <w:rtl w:val="0"/>
              </w:rPr>
              <w:t xml:space="preserve">Identifier les médiateurs numérique souhaitant se former</w:t>
            </w:r>
            <w:r/>
          </w:p>
          <w:p>
            <w:pPr>
              <w:numPr>
                <w:ilvl w:val="0"/>
                <w:numId w:val="8"/>
              </w:numPr>
              <w:pBdr/>
              <w:spacing/>
              <w:ind w:hanging="360" w:left="720"/>
              <w:rPr/>
            </w:pPr>
            <w:r>
              <w:rPr>
                <w:rtl w:val="0"/>
              </w:rPr>
              <w:t xml:space="preserve">Former les médiateurs numériques à l’outil Mon Espace Santé</w:t>
            </w:r>
            <w:r/>
          </w:p>
          <w:p>
            <w:pPr>
              <w:numPr>
                <w:ilvl w:val="0"/>
                <w:numId w:val="8"/>
              </w:numPr>
              <w:pBdr/>
              <w:spacing/>
              <w:ind w:hanging="360" w:left="720"/>
              <w:rPr/>
            </w:pPr>
            <w:r>
              <w:rPr>
                <w:rtl w:val="0"/>
              </w:rPr>
              <w:t xml:space="preserve">Accompagner les médiateurs numériques en leur fournissant les outils nécessaires à la mise en place d’ateliers et à la communication (kit de communication, trame d’animation, bac à sable MES - s’il existe - , etc.)</w:t>
            </w:r>
            <w:r/>
          </w:p>
          <w:p>
            <w:pPr>
              <w:numPr>
                <w:ilvl w:val="0"/>
                <w:numId w:val="8"/>
              </w:numPr>
              <w:pBdr/>
              <w:spacing/>
              <w:ind w:hanging="360" w:left="720"/>
              <w:rPr/>
            </w:pPr>
            <w:r>
              <w:rPr>
                <w:rtl w:val="0"/>
              </w:rPr>
              <w:t xml:space="preserve">Mesurer l’impact des actions centrées sur Mon Espace Santé</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rPr/>
            </w:pPr>
            <w:r>
              <w:rPr>
                <w:rtl w:val="0"/>
              </w:rPr>
              <w:t xml:space="preserve">Cette action est (potentiellement) le premier jalon d’une action plus large “Développer le numérique en santé par la médiation numérique”.</w:t>
            </w:r>
            <w:r/>
          </w:p>
          <w:p>
            <w:pPr>
              <w:pBdr/>
              <w:tabs>
                <w:tab w:val="left" w:leader="none" w:pos="0"/>
              </w:tabs>
              <w:spacing w:line="276" w:lineRule="auto"/>
              <w:ind/>
              <w:rPr/>
            </w:pPr>
            <w:r>
              <w:rPr>
                <w:rtl w:val="0"/>
              </w:rPr>
              <w:t xml:space="preserve">Pour des raisons de temporalité, et afin de répondre aux objectifs de chacun, il serait préférable de mener cette action avant fin décembre 2025.</w:t>
            </w:r>
            <w:r/>
          </w:p>
          <w:p>
            <w:pPr>
              <w:pBdr/>
              <w:tabs>
                <w:tab w:val="left" w:leader="none" w:pos="0"/>
              </w:tabs>
              <w:spacing w:line="276" w:lineRule="auto"/>
              <w:ind/>
              <w:rPr/>
            </w:pPr>
            <w:r>
              <w:rPr>
                <w:rtl w:val="0"/>
              </w:rPr>
            </w:r>
            <w:r/>
          </w:p>
          <w:p>
            <w:pPr>
              <w:pBdr/>
              <w:tabs>
                <w:tab w:val="left" w:leader="none" w:pos="0"/>
              </w:tabs>
              <w:spacing w:line="276" w:lineRule="auto"/>
              <w:ind/>
              <w:rPr/>
            </w:pPr>
            <w:r>
              <w:rPr>
                <w:rtl w:val="0"/>
              </w:rPr>
              <w:t xml:space="preserve">Modalités de formation aujourd’hui : </w:t>
            </w:r>
            <w:r/>
          </w:p>
          <w:p>
            <w:pPr>
              <w:numPr>
                <w:ilvl w:val="0"/>
                <w:numId w:val="4"/>
              </w:numPr>
              <w:pBdr/>
              <w:tabs>
                <w:tab w:val="left" w:leader="none" w:pos="0"/>
              </w:tabs>
              <w:spacing w:line="276" w:lineRule="auto"/>
              <w:ind w:hanging="360" w:left="720"/>
              <w:rPr>
                <w:u w:val="none"/>
              </w:rPr>
            </w:pPr>
            <w:r>
              <w:rPr>
                <w:rtl w:val="0"/>
              </w:rPr>
              <w:t xml:space="preserve">Gratuit</w:t>
            </w:r>
            <w:r>
              <w:rPr>
                <w:u w:val="none"/>
              </w:rPr>
            </w:r>
            <w:r>
              <w:rPr>
                <w:u w:val="none"/>
              </w:rPr>
            </w:r>
          </w:p>
          <w:p>
            <w:pPr>
              <w:numPr>
                <w:ilvl w:val="0"/>
                <w:numId w:val="4"/>
              </w:numPr>
              <w:pBdr/>
              <w:tabs>
                <w:tab w:val="left" w:leader="none" w:pos="0"/>
              </w:tabs>
              <w:spacing w:line="276" w:lineRule="auto"/>
              <w:ind w:hanging="360" w:left="720"/>
              <w:rPr>
                <w:u w:val="none"/>
              </w:rPr>
            </w:pPr>
            <w:r>
              <w:rPr>
                <w:rtl w:val="0"/>
              </w:rPr>
              <w:t xml:space="preserve">2 sessions (une Toulon ; une Draguignan)</w:t>
            </w:r>
            <w:r>
              <w:rPr>
                <w:u w:val="none"/>
              </w:rPr>
            </w:r>
            <w:r>
              <w:rPr>
                <w:u w:val="none"/>
              </w:rPr>
            </w:r>
          </w:p>
          <w:p>
            <w:pPr>
              <w:numPr>
                <w:ilvl w:val="0"/>
                <w:numId w:val="4"/>
              </w:numPr>
              <w:pBdr/>
              <w:tabs>
                <w:tab w:val="left" w:leader="none" w:pos="0"/>
              </w:tabs>
              <w:spacing w:line="276" w:lineRule="auto"/>
              <w:ind w:hanging="360" w:left="720"/>
              <w:rPr>
                <w:u w:val="none"/>
              </w:rPr>
            </w:pPr>
            <w:r>
              <w:rPr>
                <w:rtl w:val="0"/>
              </w:rPr>
              <w:t xml:space="preserve">Une matinée ou un après-midi (3h)</w:t>
            </w:r>
            <w:r>
              <w:rPr>
                <w:u w:val="none"/>
              </w:rPr>
            </w:r>
            <w:r>
              <w:rPr>
                <w:u w:val="none"/>
              </w:rPr>
            </w:r>
          </w:p>
          <w:p>
            <w:pPr>
              <w:numPr>
                <w:ilvl w:val="0"/>
                <w:numId w:val="4"/>
              </w:numPr>
              <w:pBdr/>
              <w:tabs>
                <w:tab w:val="left" w:leader="none" w:pos="0"/>
              </w:tabs>
              <w:spacing w:line="276" w:lineRule="auto"/>
              <w:ind w:hanging="360" w:left="720"/>
              <w:rPr>
                <w:u w:val="none"/>
              </w:rPr>
            </w:pPr>
            <w:r>
              <w:rPr>
                <w:rtl w:val="0"/>
              </w:rPr>
              <w:t xml:space="preserve">Présentiel uniquement</w:t>
            </w:r>
            <w:r>
              <w:rPr>
                <w:u w:val="none"/>
              </w:rPr>
            </w:r>
            <w:r>
              <w:rPr>
                <w:u w:val="none"/>
              </w:rPr>
            </w:r>
          </w:p>
          <w:p>
            <w:pPr>
              <w:pBdr/>
              <w:tabs>
                <w:tab w:val="left" w:leader="none" w:pos="0"/>
              </w:tabs>
              <w:spacing w:line="276" w:lineRule="auto"/>
              <w:ind/>
              <w:rPr/>
            </w:pPr>
            <w:r>
              <w:rPr>
                <w:rtl w:val="0"/>
              </w:rPr>
            </w:r>
            <w:r/>
          </w:p>
          <w:p>
            <w:pPr>
              <w:pBdr/>
              <w:tabs>
                <w:tab w:val="left" w:leader="none" w:pos="0"/>
              </w:tabs>
              <w:spacing w:line="276" w:lineRule="auto"/>
              <w:ind/>
              <w:rPr/>
            </w:pPr>
            <w:r>
              <w:rPr>
                <w:rtl w:val="0"/>
              </w:rPr>
              <w:t xml:space="preserve">L’objectif est de sensibiliser et de former les professionnels de la médiation numérique sur l’outil “Mon Espace Santé” afin qu’ils puissent eux-mêmes mettre en place des ateliers auprès de leurs usagers (ateliers ou séances d'informations) afin de : </w:t>
            </w:r>
            <w:r/>
          </w:p>
          <w:p>
            <w:pPr>
              <w:numPr>
                <w:ilvl w:val="0"/>
                <w:numId w:val="7"/>
              </w:numPr>
              <w:pBdr/>
              <w:tabs>
                <w:tab w:val="left" w:leader="none" w:pos="0"/>
              </w:tabs>
              <w:spacing w:line="276" w:lineRule="auto"/>
              <w:ind w:hanging="360" w:left="720"/>
              <w:rPr>
                <w:u w:val="none"/>
              </w:rPr>
            </w:pPr>
            <w:r>
              <w:rPr>
                <w:rtl w:val="0"/>
              </w:rPr>
              <w:t xml:space="preserve">Permettre l’information des citoyens sur l’outil MES</w:t>
            </w:r>
            <w:r>
              <w:rPr>
                <w:u w:val="none"/>
              </w:rPr>
            </w:r>
            <w:r>
              <w:rPr>
                <w:u w:val="none"/>
              </w:rPr>
            </w:r>
          </w:p>
          <w:p>
            <w:pPr>
              <w:numPr>
                <w:ilvl w:val="0"/>
                <w:numId w:val="7"/>
              </w:numPr>
              <w:pBdr/>
              <w:tabs>
                <w:tab w:val="left" w:leader="none" w:pos="0"/>
              </w:tabs>
              <w:spacing w:line="276" w:lineRule="auto"/>
              <w:ind w:hanging="360" w:left="720"/>
              <w:rPr>
                <w:u w:val="none"/>
              </w:rPr>
            </w:pPr>
            <w:r>
              <w:rPr>
                <w:rtl w:val="0"/>
              </w:rPr>
              <w:t xml:space="preserve">Permettre à ceux qui veulent l’utiliser de le faire</w:t>
            </w:r>
            <w:r>
              <w:rPr>
                <w:u w:val="none"/>
              </w:rPr>
            </w:r>
            <w:r>
              <w:rPr>
                <w:u w:val="none"/>
              </w:rPr>
            </w:r>
          </w:p>
          <w:p>
            <w:pPr>
              <w:numPr>
                <w:ilvl w:val="0"/>
                <w:numId w:val="7"/>
              </w:numPr>
              <w:pBdr/>
              <w:tabs>
                <w:tab w:val="left" w:leader="none" w:pos="0"/>
              </w:tabs>
              <w:spacing w:line="276" w:lineRule="auto"/>
              <w:ind w:hanging="360" w:left="720"/>
              <w:rPr>
                <w:u w:val="none"/>
              </w:rPr>
            </w:pPr>
            <w:r>
              <w:rPr>
                <w:rtl w:val="0"/>
              </w:rPr>
              <w:t xml:space="preserve">Donner les moyens à ceux qui ne le souhaitent pas de se retirer de l’outil</w:t>
            </w:r>
            <w:r>
              <w:rPr>
                <w:u w:val="none"/>
              </w:rPr>
            </w:r>
            <w:r>
              <w:rPr>
                <w:u w:val="none"/>
              </w:rPr>
            </w:r>
          </w:p>
          <w:p>
            <w:pPr>
              <w:pBdr/>
              <w:tabs>
                <w:tab w:val="left" w:leader="none" w:pos="0"/>
              </w:tabs>
              <w:spacing w:line="276" w:lineRule="auto"/>
              <w:ind/>
              <w:rPr/>
            </w:pPr>
            <w:r>
              <w:rPr>
                <w:rtl w:val="0"/>
              </w:rPr>
            </w:r>
            <w:r/>
          </w:p>
          <w:p>
            <w:pPr>
              <w:pBdr/>
              <w:tabs>
                <w:tab w:val="left" w:leader="none" w:pos="0"/>
              </w:tabs>
              <w:spacing w:line="276" w:lineRule="auto"/>
              <w:ind/>
              <w:rPr/>
            </w:pPr>
            <w:r>
              <w:rPr>
                <w:rtl w:val="0"/>
              </w:rPr>
              <w:t xml:space="preserve">Il y a donc un enjeu d’information, de prise de conscience de l’importance de ses données personnelles et de formation sur cet outil.</w:t>
            </w:r>
            <w:r/>
          </w:p>
          <w:p>
            <w:pPr>
              <w:pBdr/>
              <w:tabs>
                <w:tab w:val="left" w:leader="none" w:pos="0"/>
              </w:tabs>
              <w:spacing w:line="276" w:lineRule="auto"/>
              <w:ind/>
              <w:rPr/>
            </w:pPr>
            <w:r>
              <w:rPr>
                <w:rtl w:val="0"/>
              </w:rPr>
            </w:r>
            <w:r/>
          </w:p>
          <w:p>
            <w:pPr>
              <w:pBdr/>
              <w:tabs>
                <w:tab w:val="left" w:leader="none" w:pos="0"/>
              </w:tabs>
              <w:spacing w:line="276" w:lineRule="auto"/>
              <w:ind/>
              <w:rPr/>
            </w:pPr>
            <w:r>
              <w:rPr>
                <w:rtl w:val="0"/>
              </w:rPr>
              <w:t xml:space="preserve">Un bilan de l’action sera réalisée (action de formation et les effets en découlant) afin d’identifier si :</w:t>
            </w:r>
            <w:r/>
          </w:p>
          <w:p>
            <w:pPr>
              <w:numPr>
                <w:ilvl w:val="0"/>
                <w:numId w:val="9"/>
              </w:numPr>
              <w:pBdr/>
              <w:tabs>
                <w:tab w:val="left" w:leader="none" w:pos="0"/>
              </w:tabs>
              <w:spacing w:line="276" w:lineRule="auto"/>
              <w:ind w:hanging="360" w:left="720"/>
              <w:rPr>
                <w:u w:val="none"/>
              </w:rPr>
            </w:pPr>
            <w:r>
              <w:rPr>
                <w:rtl w:val="0"/>
              </w:rPr>
              <w:t xml:space="preserve">L’action a eu un effet positif sur l’utilisation de MES par la population</w:t>
            </w:r>
            <w:r>
              <w:rPr>
                <w:u w:val="none"/>
              </w:rPr>
            </w:r>
            <w:r>
              <w:rPr>
                <w:u w:val="none"/>
              </w:rPr>
            </w:r>
          </w:p>
          <w:p>
            <w:pPr>
              <w:numPr>
                <w:ilvl w:val="0"/>
                <w:numId w:val="9"/>
              </w:numPr>
              <w:pBdr/>
              <w:tabs>
                <w:tab w:val="left" w:leader="none" w:pos="0"/>
              </w:tabs>
              <w:spacing w:line="276" w:lineRule="auto"/>
              <w:ind w:hanging="360" w:left="720"/>
              <w:rPr>
                <w:u w:val="none"/>
              </w:rPr>
            </w:pPr>
            <w:r>
              <w:rPr>
                <w:rtl w:val="0"/>
              </w:rPr>
              <w:t xml:space="preserve">Cette action mérite d’être élargie sur d’autres outils, dans une démarche </w:t>
            </w:r>
            <w:r>
              <w:rPr>
                <w:u w:val="none"/>
              </w:rPr>
            </w:r>
            <w:r>
              <w:rPr>
                <w:u w:val="none"/>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ÉTAPES DE MISE EN PLACE</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01/10 : Validation avec Cyrielle BARALE de l’action</w:t>
            </w:r>
            <w:r/>
          </w:p>
          <w:p>
            <w:pPr>
              <w:pBdr/>
              <w:spacing/>
              <w:ind/>
              <w:rPr/>
            </w:pPr>
            <w:r>
              <w:rPr>
                <w:rtl w:val="0"/>
              </w:rPr>
              <w:t xml:space="preserve">avant 31/12/2025 : mise en place de la formation</w:t>
            </w:r>
            <w:r/>
          </w:p>
          <w:p>
            <w:pPr>
              <w:pBdr/>
              <w:spacing/>
              <w:ind/>
              <w:rPr/>
            </w:pPr>
            <w:r>
              <w:rPr>
                <w:rtl w:val="0"/>
              </w:rPr>
              <w:t xml:space="preserve">1 an après les formations : mesure d’impact</w:t>
            </w:r>
            <w:r/>
          </w:p>
          <w:p>
            <w:pPr>
              <w:pBdr/>
              <w:spacing/>
              <w:ind/>
              <w:rPr/>
            </w:pPr>
            <w:r>
              <w:rPr>
                <w:rtl w:val="0"/>
              </w:rPr>
              <w:t xml:space="preserve">Courant 2026 : Extension, si pertinent, vers d’autres outils du numérique en santé</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5"/>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0"/>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3"/>
              </w:numPr>
              <w:pBdr/>
              <w:spacing w:after="0" w:before="0" w:line="240" w:lineRule="auto"/>
              <w:ind w:hanging="360" w:left="283"/>
              <w:rPr>
                <w:sz w:val="24"/>
                <w:szCs w:val="24"/>
                <w:u w:val="none"/>
              </w:rPr>
            </w:pPr>
            <w:r>
              <w:rPr>
                <w:sz w:val="24"/>
                <w:szCs w:val="24"/>
                <w:rtl w:val="0"/>
              </w:rPr>
              <w:t xml:space="preserve"> DÉBUT: XX/12/2025</w:t>
            </w:r>
            <w:r>
              <w:rPr>
                <w:sz w:val="24"/>
                <w:szCs w:val="24"/>
                <w:u w:val="none"/>
              </w:rPr>
            </w:r>
            <w:r>
              <w:rPr>
                <w:sz w:val="24"/>
                <w:szCs w:val="24"/>
                <w:u w:val="none"/>
              </w:rPr>
            </w:r>
          </w:p>
          <w:p>
            <w:pPr>
              <w:pBdr/>
              <w:spacing w:after="0" w:before="0" w:line="240" w:lineRule="auto"/>
              <w:ind/>
              <w:rPr/>
            </w:pPr>
            <w:r>
              <w:rPr>
                <w:sz w:val="24"/>
                <w:szCs w:val="24"/>
                <w:rtl w:val="0"/>
              </w:rPr>
              <w:t xml:space="preserve">      FIN : XX/12/2025</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Var</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Les professionnels de la médiation numérique</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Réduction du nombre de comptes inactifs Mon Espace Santé (à la fois due à l’utilisation mais aussi à la suppression des comptes)</w:t>
            </w:r>
            <w:r/>
          </w:p>
          <w:p>
            <w:pPr>
              <w:pBdr/>
              <w:spacing w:after="0" w:before="0" w:line="240" w:lineRule="auto"/>
              <w:ind/>
              <w:rPr/>
            </w:pPr>
            <w:r>
              <w:rPr>
                <w:rtl w:val="0"/>
              </w:rPr>
              <w:t xml:space="preserve">Prise de conscience des professionnels et du public sur l’importance de maîtriser ces outils.</w:t>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Coordination MES</w:t>
            </w:r>
            <w:r/>
          </w:p>
          <w:p>
            <w:pPr>
              <w:pBdr/>
              <w:spacing w:after="0" w:before="0" w:line="240" w:lineRule="auto"/>
              <w:ind/>
              <w:rPr/>
            </w:pPr>
            <w:r>
              <w:rPr>
                <w:rtl w:val="0"/>
              </w:rPr>
              <w:t xml:space="preserve">Coordination CoNum</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Une salle à disposition par réunion, avec le mobilier</w:t>
            </w:r>
            <w:r/>
          </w:p>
        </w:tc>
        <w:tc>
          <w:tcPr>
            <w:shd w:val="clear" w:color="auto" w:fill="auto"/>
            <w:tcBorders/>
            <w:vAlign w:val="center"/>
            <w:textDirection w:val="lrTb"/>
            <w:noWrap w:val="false"/>
          </w:tcPr>
          <w:p>
            <w:pPr>
              <w:widowControl w:val="false"/>
              <w:pBdr/>
              <w:spacing/>
              <w:ind/>
              <w:rPr/>
            </w:pPr>
            <w:r>
              <w:rPr>
                <w:rtl w:val="0"/>
              </w:rPr>
              <w:t xml:space="preserve">Gratuit pour les participants</w:t>
            </w:r>
            <w:r/>
          </w:p>
        </w:tc>
      </w:tr>
      <w:tr>
        <w:trPr>
          <w:cantSplit w:val="false"/>
          <w:trHeight w:val="1951"/>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Nombre d’agents formés à Mon Espace Santé (Nombre d’ambassadeurs Mon Espace Santé)</w:t>
            </w:r>
            <w:r/>
          </w:p>
          <w:p>
            <w:pPr>
              <w:pBdr/>
              <w:spacing w:after="0" w:before="0" w:line="240" w:lineRule="auto"/>
              <w:ind/>
              <w:rPr/>
            </w:pPr>
            <w:r>
              <w:rPr>
                <w:rtl w:val="0"/>
              </w:rPr>
              <w:t xml:space="preserve">Nombre d’usager informés</w:t>
            </w:r>
            <w:r/>
          </w:p>
          <w:p>
            <w:pPr>
              <w:pBdr/>
              <w:spacing w:after="0" w:before="0" w:line="240" w:lineRule="auto"/>
              <w:ind/>
              <w:rPr/>
            </w:pPr>
            <w:r>
              <w:rPr>
                <w:rtl w:val="0"/>
              </w:rPr>
              <w:t xml:space="preserve">Nombre d’usager formés à Mon Espace Santé</w:t>
            </w:r>
            <w:r/>
          </w:p>
          <w:p>
            <w:pPr>
              <w:pBdr/>
              <w:spacing w:after="0" w:before="0" w:line="240" w:lineRule="auto"/>
              <w:ind/>
              <w:rPr/>
            </w:pPr>
            <w:r>
              <w:rPr>
                <w:rtl w:val="0"/>
              </w:rPr>
              <w:t xml:space="preserve">Retour des professionnels</w:t>
            </w:r>
            <w:r/>
          </w:p>
          <w:p>
            <w:pPr>
              <w:pBdr/>
              <w:spacing w:after="0" w:before="0" w:line="240" w:lineRule="auto"/>
              <w:ind/>
              <w:rPr/>
            </w:pPr>
            <w:r>
              <w:rPr>
                <w:rtl w:val="0"/>
              </w:rPr>
              <w:t xml:space="preserve">Retour des usagers sur la qualité des accompagnements</w:t>
            </w:r>
            <w:r/>
          </w:p>
          <w:p>
            <w:pPr>
              <w:pBdr/>
              <w:spacing w:after="0" w:before="0" w:line="240" w:lineRule="auto"/>
              <w:ind/>
              <w:rPr/>
            </w:pPr>
            <w:r>
              <w:rPr>
                <w:rtl w:val="0"/>
              </w:rPr>
              <w:t xml:space="preserve">Evolution du nombre d’utilisateur de Mon Espace Santé (KPI ARS PACA)</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Présentation du rôle d’ambassadeur et de MES</w:t>
            </w:r>
            <w:r>
              <w:rPr>
                <w:rtl w:val="0"/>
              </w:rPr>
            </w:r>
            <w:r/>
          </w:p>
          <w:p>
            <w:pPr>
              <w:pBdr/>
              <w:spacing w:after="0" w:before="0" w:line="240" w:lineRule="auto"/>
              <w:ind/>
              <w:rPr>
                <w:highlight w:val="none"/>
              </w:rPr>
            </w:pPr>
            <w:r>
              <w:rPr>
                <w:rtl w:val="0"/>
              </w:rPr>
              <w:t xml:space="preserve">Support de formation</w:t>
              <w:br/>
            </w:r>
            <w:hyperlink r:id="rId12" w:tooltip="https://app.pix.fr/campagnes/DSFXMK642/presentation" w:history="1">
              <w:r>
                <w:rPr>
                  <w:rStyle w:val="890"/>
                  <w:rtl w:val="0"/>
                </w:rPr>
                <w:t xml:space="preserve">Test Pix CPAM/MES</w:t>
              </w:r>
              <w:r>
                <w:rPr>
                  <w:rStyle w:val="890"/>
                  <w:rtl w:val="0"/>
                </w:rPr>
              </w:r>
              <w:r>
                <w:rPr>
                  <w:rStyle w:val="890"/>
                </w:rPr>
              </w:r>
            </w:hyperlink>
            <w:r/>
            <w:r/>
          </w:p>
          <w:p>
            <w:pPr>
              <w:pBdr/>
              <w:spacing w:after="0" w:before="0" w:line="240" w:lineRule="auto"/>
              <w:ind/>
              <w:rPr>
                <w:highlight w:val="none"/>
              </w:rPr>
            </w:pPr>
            <w:r>
              <w:rPr>
                <w:highlight w:val="none"/>
              </w:rPr>
            </w:r>
            <w:hyperlink r:id="rId13" w:tooltip="https://sante.gouv.fr/IMG/pdf/20240205_synthese-numerique-sante.pdf" w:history="1">
              <w:r>
                <w:rPr>
                  <w:rStyle w:val="890"/>
                  <w:highlight w:val="none"/>
                </w:rPr>
                <w:t xml:space="preserve">Dossier français et numérique en santé</w:t>
              </w:r>
              <w:r>
                <w:rPr>
                  <w:rStyle w:val="890"/>
                  <w:highlight w:val="none"/>
                </w:rPr>
              </w:r>
            </w:hyperlink>
            <w:r/>
            <w:r>
              <w:rPr>
                <w:highlight w:val="none"/>
              </w:rPr>
            </w:r>
          </w:p>
          <w:p>
            <w:pPr>
              <w:pBdr/>
              <w:spacing w:after="0" w:before="0" w:line="240" w:lineRule="auto"/>
              <w:ind/>
              <w:rPr/>
            </w:pPr>
            <w:r>
              <w:rPr>
                <w:highlight w:val="none"/>
              </w:rPr>
            </w:r>
            <w:hyperlink r:id="rId14" w:tooltip="https://www.assemblee-nationale.fr/dyn/17/textes/l17b1907_projet-loi#D_Article_31" w:history="1">
              <w:r>
                <w:rPr>
                  <w:rStyle w:val="890"/>
                  <w:highlight w:val="none"/>
                </w:rPr>
                <w:t xml:space="preserve">Article 31 loi finance sécurité sociale : obligation pour les pros d’utiliser MES</w:t>
              </w:r>
              <w:r>
                <w:rPr>
                  <w:rStyle w:val="890"/>
                  <w:highlight w:val="none"/>
                </w:rPr>
              </w:r>
            </w:hyperlink>
            <w:r/>
            <w:r>
              <w:rPr>
                <w:highlight w:val="none"/>
              </w:rP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L’objectif ici est d’initier une démarche de développement d’actions de médiation numérique centrées sur la santé.</w:t>
            </w:r>
            <w:r/>
          </w:p>
          <w:p>
            <w:pPr>
              <w:pBdr/>
              <w:spacing w:after="0" w:before="0" w:line="240" w:lineRule="auto"/>
              <w:ind/>
              <w:rPr/>
            </w:pPr>
            <w:r>
              <w:rPr>
                <w:rtl w:val="0"/>
              </w:rPr>
              <w:t xml:space="preserve">Les résultats d</w:t>
            </w:r>
            <w:r>
              <w:rPr>
                <w:rtl w:val="0"/>
              </w:rPr>
              <w:t xml:space="preserve">e cette formation permettront de déterminer si, oui ou non, il est pertinent de s’engager sur cette voie et donc de créer, par exemple, un parcours usager “Être autonome dans mes démarches de santé” qui comprendrait Doctolib, Mon Espace Santé, AMELI, etc. </w:t>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alentin BOUSSET" w:date="2025-10-01T12:34:37Z">
    <w:p w14:paraId="00000001" w14:textId="00000001">
      <w:pPr>
        <w:spacing w:line="240" w:after="0" w:lineRule="auto" w:before="0"/>
        <w:ind w:firstLine="0" w:left="0" w:right="0"/>
        <w:jc w:val="left"/>
      </w:pPr>
      <w:r>
        <w:rPr>
          <w:rFonts w:eastAsia="Arial" w:ascii="Arial" w:hAnsi="Arial" w:cs="Arial"/>
          <w:sz w:val="22"/>
        </w:rPr>
        <w:t xml:space="preserve">Evolution avec la CPAM basée sur l'expérimentation menée dans le 84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72C48D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3">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4">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8">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9">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Table Grid"/>
    <w:basedOn w:val="723"/>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Table Grid Light"/>
    <w:basedOn w:val="72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1"/>
    <w:basedOn w:val="72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2"/>
    <w:basedOn w:val="72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3"/>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4"/>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Plain Table 5"/>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w:basedOn w:val="72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1"/>
    <w:basedOn w:val="7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2"/>
    <w:basedOn w:val="7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3"/>
    <w:basedOn w:val="7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4"/>
    <w:basedOn w:val="7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5"/>
    <w:basedOn w:val="7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1 Light - Accent 6"/>
    <w:basedOn w:val="7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w:basedOn w:val="7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1"/>
    <w:basedOn w:val="7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5"/>
    <w:basedOn w:val="7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2 - Accent 6"/>
    <w:basedOn w:val="7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w:basedOn w:val="7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1"/>
    <w:basedOn w:val="7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5"/>
    <w:basedOn w:val="7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3 - Accent 6"/>
    <w:basedOn w:val="7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w:basedOn w:val="72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1"/>
    <w:basedOn w:val="72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2"/>
    <w:basedOn w:val="72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3"/>
    <w:basedOn w:val="72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4"/>
    <w:basedOn w:val="72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5"/>
    <w:basedOn w:val="72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4 - Accent 6"/>
    <w:basedOn w:val="72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Accent 1"/>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2"/>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 Accent 3"/>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Accent 4"/>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5"/>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5 Dark - Accent 6"/>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6 Colorful"/>
    <w:basedOn w:val="72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7">
    <w:name w:val="Grid Table 6 Colorful - Accent 1"/>
    <w:basedOn w:val="72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8">
    <w:name w:val="Grid Table 6 Colorful - Accent 2"/>
    <w:basedOn w:val="7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9">
    <w:name w:val="Grid Table 6 Colorful - Accent 3"/>
    <w:basedOn w:val="72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0">
    <w:name w:val="Grid Table 6 Colorful - Accent 4"/>
    <w:basedOn w:val="7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1">
    <w:name w:val="Grid Table 6 Colorful - Accent 5"/>
    <w:basedOn w:val="72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2">
    <w:name w:val="Grid Table 6 Colorful - Accent 6"/>
    <w:basedOn w:val="72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3">
    <w:name w:val="Grid Table 7 Colorful"/>
    <w:basedOn w:val="72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1"/>
    <w:basedOn w:val="72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5"/>
    <w:basedOn w:val="72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7 Colorful - Accent 6"/>
    <w:basedOn w:val="72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1"/>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2"/>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3"/>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4"/>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5"/>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1 Light - Accent 6"/>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w:basedOn w:val="72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1"/>
    <w:basedOn w:val="72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2"/>
    <w:basedOn w:val="72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3"/>
    <w:basedOn w:val="72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4"/>
    <w:basedOn w:val="72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5"/>
    <w:basedOn w:val="72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2 - Accent 6"/>
    <w:basedOn w:val="72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w:basedOn w:val="7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1"/>
    <w:basedOn w:val="72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2"/>
    <w:basedOn w:val="7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3"/>
    <w:basedOn w:val="72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4"/>
    <w:basedOn w:val="7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5"/>
    <w:basedOn w:val="72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6"/>
    <w:basedOn w:val="72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w:basedOn w:val="7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1"/>
    <w:basedOn w:val="72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2"/>
    <w:basedOn w:val="72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3"/>
    <w:basedOn w:val="72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4"/>
    <w:basedOn w:val="72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5"/>
    <w:basedOn w:val="72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6"/>
    <w:basedOn w:val="72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5 Dark"/>
    <w:basedOn w:val="72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1"/>
    <w:basedOn w:val="72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2"/>
    <w:basedOn w:val="72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3"/>
    <w:basedOn w:val="72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4"/>
    <w:basedOn w:val="72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5"/>
    <w:basedOn w:val="72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6"/>
    <w:basedOn w:val="72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6 Colorful"/>
    <w:basedOn w:val="72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1"/>
    <w:basedOn w:val="72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2"/>
    <w:basedOn w:val="72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3"/>
    <w:basedOn w:val="72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4"/>
    <w:basedOn w:val="72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5"/>
    <w:basedOn w:val="72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6"/>
    <w:basedOn w:val="72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7 Colorful"/>
    <w:basedOn w:val="72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3">
    <w:name w:val="List Table 7 Colorful - Accent 1"/>
    <w:basedOn w:val="72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4">
    <w:name w:val="List Table 7 Colorful - Accent 2"/>
    <w:basedOn w:val="72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5">
    <w:name w:val="List Table 7 Colorful - Accent 3"/>
    <w:basedOn w:val="72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6">
    <w:name w:val="List Table 7 Colorful - Accent 4"/>
    <w:basedOn w:val="72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7">
    <w:name w:val="List Table 7 Colorful - Accent 5"/>
    <w:basedOn w:val="72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8">
    <w:name w:val="List Table 7 Colorful - Accent 6"/>
    <w:basedOn w:val="72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9">
    <w:name w:val="Lined - Accent"/>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1"/>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2"/>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3"/>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4"/>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5"/>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ned - Accent 6"/>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w:basedOn w:val="72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1"/>
    <w:basedOn w:val="72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2"/>
    <w:basedOn w:val="72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3"/>
    <w:basedOn w:val="72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4"/>
    <w:basedOn w:val="72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5"/>
    <w:basedOn w:val="72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amp; Lined - Accent 6"/>
    <w:basedOn w:val="72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w:basedOn w:val="72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1"/>
    <w:basedOn w:val="7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2"/>
    <w:basedOn w:val="7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3"/>
    <w:basedOn w:val="7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4"/>
    <w:basedOn w:val="7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5"/>
    <w:basedOn w:val="7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 Accent 6"/>
    <w:basedOn w:val="7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0">
    <w:name w:val="Heading 7"/>
    <w:basedOn w:val="904"/>
    <w:next w:val="904"/>
    <w:link w:val="861"/>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51">
    <w:name w:val="Heading 8"/>
    <w:basedOn w:val="904"/>
    <w:next w:val="904"/>
    <w:link w:val="862"/>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52">
    <w:name w:val="Heading 9"/>
    <w:basedOn w:val="904"/>
    <w:next w:val="904"/>
    <w:link w:val="863"/>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53" w:default="1">
    <w:name w:val="Default Paragraph Font"/>
    <w:uiPriority w:val="1"/>
    <w:semiHidden/>
    <w:unhideWhenUsed/>
    <w:pPr>
      <w:pBdr/>
      <w:spacing/>
      <w:ind/>
    </w:pPr>
  </w:style>
  <w:style w:type="numbering" w:styleId="854" w:default="1">
    <w:name w:val="No List"/>
    <w:uiPriority w:val="99"/>
    <w:semiHidden/>
    <w:unhideWhenUsed/>
    <w:pPr>
      <w:pBdr/>
      <w:spacing/>
      <w:ind/>
    </w:pPr>
  </w:style>
  <w:style w:type="character" w:styleId="855">
    <w:name w:val="Heading 1 Char"/>
    <w:basedOn w:val="853"/>
    <w:link w:val="905"/>
    <w:uiPriority w:val="9"/>
    <w:pPr>
      <w:pBdr/>
      <w:spacing/>
      <w:ind/>
    </w:pPr>
    <w:rPr>
      <w:rFonts w:ascii="Arial" w:hAnsi="Arial" w:eastAsia="Arial" w:cs="Arial"/>
      <w:color w:val="0f4761" w:themeColor="accent1" w:themeShade="BF"/>
      <w:sz w:val="40"/>
      <w:szCs w:val="40"/>
    </w:rPr>
  </w:style>
  <w:style w:type="character" w:styleId="856">
    <w:name w:val="Heading 2 Char"/>
    <w:basedOn w:val="853"/>
    <w:link w:val="906"/>
    <w:uiPriority w:val="9"/>
    <w:pPr>
      <w:pBdr/>
      <w:spacing/>
      <w:ind/>
    </w:pPr>
    <w:rPr>
      <w:rFonts w:ascii="Arial" w:hAnsi="Arial" w:eastAsia="Arial" w:cs="Arial"/>
      <w:color w:val="0f4761" w:themeColor="accent1" w:themeShade="BF"/>
      <w:sz w:val="32"/>
      <w:szCs w:val="32"/>
    </w:rPr>
  </w:style>
  <w:style w:type="character" w:styleId="857">
    <w:name w:val="Heading 3 Char"/>
    <w:basedOn w:val="853"/>
    <w:link w:val="907"/>
    <w:uiPriority w:val="9"/>
    <w:pPr>
      <w:pBdr/>
      <w:spacing/>
      <w:ind/>
    </w:pPr>
    <w:rPr>
      <w:rFonts w:ascii="Arial" w:hAnsi="Arial" w:eastAsia="Arial" w:cs="Arial"/>
      <w:color w:val="0f4761" w:themeColor="accent1" w:themeShade="BF"/>
      <w:sz w:val="28"/>
      <w:szCs w:val="28"/>
    </w:rPr>
  </w:style>
  <w:style w:type="character" w:styleId="858">
    <w:name w:val="Heading 4 Char"/>
    <w:basedOn w:val="853"/>
    <w:link w:val="908"/>
    <w:uiPriority w:val="9"/>
    <w:pPr>
      <w:pBdr/>
      <w:spacing/>
      <w:ind/>
    </w:pPr>
    <w:rPr>
      <w:rFonts w:ascii="Arial" w:hAnsi="Arial" w:eastAsia="Arial" w:cs="Arial"/>
      <w:i/>
      <w:iCs/>
      <w:color w:val="0f4761" w:themeColor="accent1" w:themeShade="BF"/>
    </w:rPr>
  </w:style>
  <w:style w:type="character" w:styleId="859">
    <w:name w:val="Heading 5 Char"/>
    <w:basedOn w:val="853"/>
    <w:link w:val="909"/>
    <w:uiPriority w:val="9"/>
    <w:pPr>
      <w:pBdr/>
      <w:spacing/>
      <w:ind/>
    </w:pPr>
    <w:rPr>
      <w:rFonts w:ascii="Arial" w:hAnsi="Arial" w:eastAsia="Arial" w:cs="Arial"/>
      <w:color w:val="0f4761" w:themeColor="accent1" w:themeShade="BF"/>
    </w:rPr>
  </w:style>
  <w:style w:type="character" w:styleId="860">
    <w:name w:val="Heading 6 Char"/>
    <w:basedOn w:val="853"/>
    <w:link w:val="910"/>
    <w:uiPriority w:val="9"/>
    <w:pPr>
      <w:pBdr/>
      <w:spacing/>
      <w:ind/>
    </w:pPr>
    <w:rPr>
      <w:rFonts w:ascii="Arial" w:hAnsi="Arial" w:eastAsia="Arial" w:cs="Arial"/>
      <w:i/>
      <w:iCs/>
      <w:color w:val="595959" w:themeColor="text1" w:themeTint="A6"/>
    </w:rPr>
  </w:style>
  <w:style w:type="character" w:styleId="861">
    <w:name w:val="Heading 7 Char"/>
    <w:basedOn w:val="853"/>
    <w:link w:val="850"/>
    <w:uiPriority w:val="9"/>
    <w:pPr>
      <w:pBdr/>
      <w:spacing/>
      <w:ind/>
    </w:pPr>
    <w:rPr>
      <w:rFonts w:ascii="Arial" w:hAnsi="Arial" w:eastAsia="Arial" w:cs="Arial"/>
      <w:color w:val="595959" w:themeColor="text1" w:themeTint="A6"/>
    </w:rPr>
  </w:style>
  <w:style w:type="character" w:styleId="862">
    <w:name w:val="Heading 8 Char"/>
    <w:basedOn w:val="853"/>
    <w:link w:val="851"/>
    <w:uiPriority w:val="9"/>
    <w:pPr>
      <w:pBdr/>
      <w:spacing/>
      <w:ind/>
    </w:pPr>
    <w:rPr>
      <w:rFonts w:ascii="Arial" w:hAnsi="Arial" w:eastAsia="Arial" w:cs="Arial"/>
      <w:i/>
      <w:iCs/>
      <w:color w:val="272727" w:themeColor="text1" w:themeTint="D8"/>
    </w:rPr>
  </w:style>
  <w:style w:type="character" w:styleId="863">
    <w:name w:val="Heading 9 Char"/>
    <w:basedOn w:val="853"/>
    <w:link w:val="852"/>
    <w:uiPriority w:val="9"/>
    <w:pPr>
      <w:pBdr/>
      <w:spacing/>
      <w:ind/>
    </w:pPr>
    <w:rPr>
      <w:rFonts w:ascii="Arial" w:hAnsi="Arial" w:eastAsia="Arial" w:cs="Arial"/>
      <w:i/>
      <w:iCs/>
      <w:color w:val="272727" w:themeColor="text1" w:themeTint="D8"/>
    </w:rPr>
  </w:style>
  <w:style w:type="character" w:styleId="864">
    <w:name w:val="Title Char"/>
    <w:basedOn w:val="853"/>
    <w:link w:val="911"/>
    <w:uiPriority w:val="10"/>
    <w:pPr>
      <w:pBdr/>
      <w:spacing/>
      <w:ind/>
    </w:pPr>
    <w:rPr>
      <w:rFonts w:ascii="Arial" w:hAnsi="Arial" w:eastAsia="Arial" w:cs="Arial"/>
      <w:spacing w:val="-10"/>
      <w:sz w:val="56"/>
      <w:szCs w:val="56"/>
    </w:rPr>
  </w:style>
  <w:style w:type="character" w:styleId="865">
    <w:name w:val="Subtitle Char"/>
    <w:basedOn w:val="853"/>
    <w:link w:val="912"/>
    <w:uiPriority w:val="11"/>
    <w:pPr>
      <w:pBdr/>
      <w:spacing/>
      <w:ind/>
    </w:pPr>
    <w:rPr>
      <w:color w:val="595959" w:themeColor="text1" w:themeTint="A6"/>
      <w:spacing w:val="15"/>
      <w:sz w:val="28"/>
      <w:szCs w:val="28"/>
    </w:rPr>
  </w:style>
  <w:style w:type="paragraph" w:styleId="866">
    <w:name w:val="Quote"/>
    <w:basedOn w:val="904"/>
    <w:next w:val="904"/>
    <w:link w:val="867"/>
    <w:uiPriority w:val="29"/>
    <w:qFormat/>
    <w:pPr>
      <w:pBdr/>
      <w:spacing w:before="160"/>
      <w:ind/>
      <w:jc w:val="center"/>
    </w:pPr>
    <w:rPr>
      <w:i/>
      <w:iCs/>
      <w:color w:val="404040" w:themeColor="text1" w:themeTint="BF"/>
    </w:rPr>
  </w:style>
  <w:style w:type="character" w:styleId="867">
    <w:name w:val="Quote Char"/>
    <w:basedOn w:val="853"/>
    <w:link w:val="866"/>
    <w:uiPriority w:val="29"/>
    <w:pPr>
      <w:pBdr/>
      <w:spacing/>
      <w:ind/>
    </w:pPr>
    <w:rPr>
      <w:i/>
      <w:iCs/>
      <w:color w:val="404040" w:themeColor="text1" w:themeTint="BF"/>
    </w:rPr>
  </w:style>
  <w:style w:type="paragraph" w:styleId="868">
    <w:name w:val="List Paragraph"/>
    <w:basedOn w:val="904"/>
    <w:uiPriority w:val="34"/>
    <w:qFormat/>
    <w:pPr>
      <w:pBdr/>
      <w:spacing/>
      <w:ind w:left="720"/>
      <w:contextualSpacing w:val="true"/>
    </w:pPr>
  </w:style>
  <w:style w:type="character" w:styleId="869">
    <w:name w:val="Intense Emphasis"/>
    <w:basedOn w:val="853"/>
    <w:uiPriority w:val="21"/>
    <w:qFormat/>
    <w:pPr>
      <w:pBdr/>
      <w:spacing/>
      <w:ind/>
    </w:pPr>
    <w:rPr>
      <w:i/>
      <w:iCs/>
      <w:color w:val="0f4761" w:themeColor="accent1" w:themeShade="BF"/>
    </w:rPr>
  </w:style>
  <w:style w:type="paragraph" w:styleId="870">
    <w:name w:val="Intense Quote"/>
    <w:basedOn w:val="904"/>
    <w:next w:val="904"/>
    <w:link w:val="87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1">
    <w:name w:val="Intense Quote Char"/>
    <w:basedOn w:val="853"/>
    <w:link w:val="870"/>
    <w:uiPriority w:val="30"/>
    <w:pPr>
      <w:pBdr/>
      <w:spacing/>
      <w:ind/>
    </w:pPr>
    <w:rPr>
      <w:i/>
      <w:iCs/>
      <w:color w:val="0f4761" w:themeColor="accent1" w:themeShade="BF"/>
    </w:rPr>
  </w:style>
  <w:style w:type="character" w:styleId="872">
    <w:name w:val="Intense Reference"/>
    <w:basedOn w:val="853"/>
    <w:uiPriority w:val="32"/>
    <w:qFormat/>
    <w:pPr>
      <w:pBdr/>
      <w:spacing/>
      <w:ind/>
    </w:pPr>
    <w:rPr>
      <w:b/>
      <w:bCs/>
      <w:smallCaps/>
      <w:color w:val="0f4761" w:themeColor="accent1" w:themeShade="BF"/>
      <w:spacing w:val="5"/>
    </w:rPr>
  </w:style>
  <w:style w:type="paragraph" w:styleId="873">
    <w:name w:val="No Spacing"/>
    <w:basedOn w:val="904"/>
    <w:uiPriority w:val="1"/>
    <w:qFormat/>
    <w:pPr>
      <w:pBdr/>
      <w:spacing w:after="0" w:line="240" w:lineRule="auto"/>
      <w:ind/>
    </w:pPr>
  </w:style>
  <w:style w:type="character" w:styleId="874">
    <w:name w:val="Subtle Emphasis"/>
    <w:basedOn w:val="853"/>
    <w:uiPriority w:val="19"/>
    <w:qFormat/>
    <w:pPr>
      <w:pBdr/>
      <w:spacing/>
      <w:ind/>
    </w:pPr>
    <w:rPr>
      <w:i/>
      <w:iCs/>
      <w:color w:val="404040" w:themeColor="text1" w:themeTint="BF"/>
    </w:rPr>
  </w:style>
  <w:style w:type="character" w:styleId="875">
    <w:name w:val="Emphasis"/>
    <w:basedOn w:val="853"/>
    <w:uiPriority w:val="20"/>
    <w:qFormat/>
    <w:pPr>
      <w:pBdr/>
      <w:spacing/>
      <w:ind/>
    </w:pPr>
    <w:rPr>
      <w:i/>
      <w:iCs/>
    </w:rPr>
  </w:style>
  <w:style w:type="character" w:styleId="876">
    <w:name w:val="Strong"/>
    <w:basedOn w:val="853"/>
    <w:uiPriority w:val="22"/>
    <w:qFormat/>
    <w:pPr>
      <w:pBdr/>
      <w:spacing/>
      <w:ind/>
    </w:pPr>
    <w:rPr>
      <w:b/>
      <w:bCs/>
    </w:rPr>
  </w:style>
  <w:style w:type="character" w:styleId="877">
    <w:name w:val="Subtle Reference"/>
    <w:basedOn w:val="853"/>
    <w:uiPriority w:val="31"/>
    <w:qFormat/>
    <w:pPr>
      <w:pBdr/>
      <w:spacing/>
      <w:ind/>
    </w:pPr>
    <w:rPr>
      <w:smallCaps/>
      <w:color w:val="5a5a5a" w:themeColor="text1" w:themeTint="A5"/>
    </w:rPr>
  </w:style>
  <w:style w:type="character" w:styleId="878">
    <w:name w:val="Book Title"/>
    <w:basedOn w:val="853"/>
    <w:uiPriority w:val="33"/>
    <w:qFormat/>
    <w:pPr>
      <w:pBdr/>
      <w:spacing/>
      <w:ind/>
    </w:pPr>
    <w:rPr>
      <w:b/>
      <w:bCs/>
      <w:i/>
      <w:iCs/>
      <w:spacing w:val="5"/>
    </w:rPr>
  </w:style>
  <w:style w:type="paragraph" w:styleId="879">
    <w:name w:val="Header"/>
    <w:basedOn w:val="904"/>
    <w:link w:val="880"/>
    <w:uiPriority w:val="99"/>
    <w:unhideWhenUsed/>
    <w:pPr>
      <w:pBdr/>
      <w:tabs>
        <w:tab w:val="center" w:leader="none" w:pos="4844"/>
        <w:tab w:val="right" w:leader="none" w:pos="9689"/>
      </w:tabs>
      <w:spacing w:after="0" w:line="240" w:lineRule="auto"/>
      <w:ind/>
    </w:pPr>
  </w:style>
  <w:style w:type="character" w:styleId="880">
    <w:name w:val="Header Char"/>
    <w:basedOn w:val="853"/>
    <w:link w:val="879"/>
    <w:uiPriority w:val="99"/>
    <w:pPr>
      <w:pBdr/>
      <w:spacing/>
      <w:ind/>
    </w:pPr>
  </w:style>
  <w:style w:type="paragraph" w:styleId="881">
    <w:name w:val="Footer"/>
    <w:basedOn w:val="904"/>
    <w:link w:val="882"/>
    <w:uiPriority w:val="99"/>
    <w:unhideWhenUsed/>
    <w:pPr>
      <w:pBdr/>
      <w:tabs>
        <w:tab w:val="center" w:leader="none" w:pos="4844"/>
        <w:tab w:val="right" w:leader="none" w:pos="9689"/>
      </w:tabs>
      <w:spacing w:after="0" w:line="240" w:lineRule="auto"/>
      <w:ind/>
    </w:pPr>
  </w:style>
  <w:style w:type="character" w:styleId="882">
    <w:name w:val="Footer Char"/>
    <w:basedOn w:val="853"/>
    <w:link w:val="881"/>
    <w:uiPriority w:val="99"/>
    <w:pPr>
      <w:pBdr/>
      <w:spacing/>
      <w:ind/>
    </w:pPr>
  </w:style>
  <w:style w:type="paragraph" w:styleId="883">
    <w:name w:val="Caption"/>
    <w:basedOn w:val="904"/>
    <w:next w:val="904"/>
    <w:uiPriority w:val="35"/>
    <w:unhideWhenUsed/>
    <w:qFormat/>
    <w:pPr>
      <w:pBdr/>
      <w:spacing w:after="200" w:line="240" w:lineRule="auto"/>
      <w:ind/>
    </w:pPr>
    <w:rPr>
      <w:i/>
      <w:iCs/>
      <w:color w:val="0e2841" w:themeColor="text2"/>
      <w:sz w:val="18"/>
      <w:szCs w:val="18"/>
    </w:rPr>
  </w:style>
  <w:style w:type="paragraph" w:styleId="884">
    <w:name w:val="footnote text"/>
    <w:basedOn w:val="904"/>
    <w:link w:val="885"/>
    <w:uiPriority w:val="99"/>
    <w:semiHidden/>
    <w:unhideWhenUsed/>
    <w:pPr>
      <w:pBdr/>
      <w:spacing w:after="0" w:line="240" w:lineRule="auto"/>
      <w:ind/>
    </w:pPr>
    <w:rPr>
      <w:sz w:val="20"/>
      <w:szCs w:val="20"/>
    </w:rPr>
  </w:style>
  <w:style w:type="character" w:styleId="885">
    <w:name w:val="Footnote Text Char"/>
    <w:basedOn w:val="853"/>
    <w:link w:val="884"/>
    <w:uiPriority w:val="99"/>
    <w:semiHidden/>
    <w:pPr>
      <w:pBdr/>
      <w:spacing/>
      <w:ind/>
    </w:pPr>
    <w:rPr>
      <w:sz w:val="20"/>
      <w:szCs w:val="20"/>
    </w:rPr>
  </w:style>
  <w:style w:type="character" w:styleId="886">
    <w:name w:val="footnote reference"/>
    <w:basedOn w:val="853"/>
    <w:uiPriority w:val="99"/>
    <w:semiHidden/>
    <w:unhideWhenUsed/>
    <w:pPr>
      <w:pBdr/>
      <w:spacing/>
      <w:ind/>
    </w:pPr>
    <w:rPr>
      <w:vertAlign w:val="superscript"/>
    </w:rPr>
  </w:style>
  <w:style w:type="paragraph" w:styleId="887">
    <w:name w:val="endnote text"/>
    <w:basedOn w:val="904"/>
    <w:link w:val="888"/>
    <w:uiPriority w:val="99"/>
    <w:semiHidden/>
    <w:unhideWhenUsed/>
    <w:pPr>
      <w:pBdr/>
      <w:spacing w:after="0" w:line="240" w:lineRule="auto"/>
      <w:ind/>
    </w:pPr>
    <w:rPr>
      <w:sz w:val="20"/>
      <w:szCs w:val="20"/>
    </w:rPr>
  </w:style>
  <w:style w:type="character" w:styleId="888">
    <w:name w:val="Endnote Text Char"/>
    <w:basedOn w:val="853"/>
    <w:link w:val="887"/>
    <w:uiPriority w:val="99"/>
    <w:semiHidden/>
    <w:pPr>
      <w:pBdr/>
      <w:spacing/>
      <w:ind/>
    </w:pPr>
    <w:rPr>
      <w:sz w:val="20"/>
      <w:szCs w:val="20"/>
    </w:rPr>
  </w:style>
  <w:style w:type="character" w:styleId="889">
    <w:name w:val="endnote reference"/>
    <w:basedOn w:val="853"/>
    <w:uiPriority w:val="99"/>
    <w:semiHidden/>
    <w:unhideWhenUsed/>
    <w:pPr>
      <w:pBdr/>
      <w:spacing/>
      <w:ind/>
    </w:pPr>
    <w:rPr>
      <w:vertAlign w:val="superscript"/>
    </w:rPr>
  </w:style>
  <w:style w:type="character" w:styleId="890">
    <w:name w:val="Hyperlink"/>
    <w:basedOn w:val="853"/>
    <w:uiPriority w:val="99"/>
    <w:unhideWhenUsed/>
    <w:pPr>
      <w:pBdr/>
      <w:spacing/>
      <w:ind/>
    </w:pPr>
    <w:rPr>
      <w:color w:val="0563c1" w:themeColor="hyperlink"/>
      <w:u w:val="single"/>
    </w:rPr>
  </w:style>
  <w:style w:type="character" w:styleId="891">
    <w:name w:val="FollowedHyperlink"/>
    <w:basedOn w:val="853"/>
    <w:uiPriority w:val="99"/>
    <w:semiHidden/>
    <w:unhideWhenUsed/>
    <w:pPr>
      <w:pBdr/>
      <w:spacing/>
      <w:ind/>
    </w:pPr>
    <w:rPr>
      <w:color w:val="954f72" w:themeColor="followedHyperlink"/>
      <w:u w:val="single"/>
    </w:rPr>
  </w:style>
  <w:style w:type="paragraph" w:styleId="892">
    <w:name w:val="toc 1"/>
    <w:basedOn w:val="904"/>
    <w:next w:val="904"/>
    <w:uiPriority w:val="39"/>
    <w:unhideWhenUsed/>
    <w:pPr>
      <w:pBdr/>
      <w:spacing w:after="100"/>
      <w:ind/>
    </w:pPr>
  </w:style>
  <w:style w:type="paragraph" w:styleId="893">
    <w:name w:val="toc 2"/>
    <w:basedOn w:val="904"/>
    <w:next w:val="904"/>
    <w:uiPriority w:val="39"/>
    <w:unhideWhenUsed/>
    <w:pPr>
      <w:pBdr/>
      <w:spacing w:after="100"/>
      <w:ind w:left="220"/>
    </w:pPr>
  </w:style>
  <w:style w:type="paragraph" w:styleId="894">
    <w:name w:val="toc 3"/>
    <w:basedOn w:val="904"/>
    <w:next w:val="904"/>
    <w:uiPriority w:val="39"/>
    <w:unhideWhenUsed/>
    <w:pPr>
      <w:pBdr/>
      <w:spacing w:after="100"/>
      <w:ind w:left="440"/>
    </w:pPr>
  </w:style>
  <w:style w:type="paragraph" w:styleId="895">
    <w:name w:val="toc 4"/>
    <w:basedOn w:val="904"/>
    <w:next w:val="904"/>
    <w:uiPriority w:val="39"/>
    <w:unhideWhenUsed/>
    <w:pPr>
      <w:pBdr/>
      <w:spacing w:after="100"/>
      <w:ind w:left="660"/>
    </w:pPr>
  </w:style>
  <w:style w:type="paragraph" w:styleId="896">
    <w:name w:val="toc 5"/>
    <w:basedOn w:val="904"/>
    <w:next w:val="904"/>
    <w:uiPriority w:val="39"/>
    <w:unhideWhenUsed/>
    <w:pPr>
      <w:pBdr/>
      <w:spacing w:after="100"/>
      <w:ind w:left="880"/>
    </w:pPr>
  </w:style>
  <w:style w:type="paragraph" w:styleId="897">
    <w:name w:val="toc 6"/>
    <w:basedOn w:val="904"/>
    <w:next w:val="904"/>
    <w:uiPriority w:val="39"/>
    <w:unhideWhenUsed/>
    <w:pPr>
      <w:pBdr/>
      <w:spacing w:after="100"/>
      <w:ind w:left="1100"/>
    </w:pPr>
  </w:style>
  <w:style w:type="paragraph" w:styleId="898">
    <w:name w:val="toc 7"/>
    <w:basedOn w:val="904"/>
    <w:next w:val="904"/>
    <w:uiPriority w:val="39"/>
    <w:unhideWhenUsed/>
    <w:pPr>
      <w:pBdr/>
      <w:spacing w:after="100"/>
      <w:ind w:left="1320"/>
    </w:pPr>
  </w:style>
  <w:style w:type="paragraph" w:styleId="899">
    <w:name w:val="toc 8"/>
    <w:basedOn w:val="904"/>
    <w:next w:val="904"/>
    <w:uiPriority w:val="39"/>
    <w:unhideWhenUsed/>
    <w:pPr>
      <w:pBdr/>
      <w:spacing w:after="100"/>
      <w:ind w:left="1540"/>
    </w:pPr>
  </w:style>
  <w:style w:type="paragraph" w:styleId="900">
    <w:name w:val="toc 9"/>
    <w:basedOn w:val="904"/>
    <w:next w:val="904"/>
    <w:uiPriority w:val="39"/>
    <w:unhideWhenUsed/>
    <w:pPr>
      <w:pBdr/>
      <w:spacing w:after="100"/>
      <w:ind w:left="1760"/>
    </w:pPr>
  </w:style>
  <w:style w:type="paragraph" w:styleId="901">
    <w:name w:val="TOC Heading"/>
    <w:uiPriority w:val="39"/>
    <w:unhideWhenUsed/>
    <w:pPr>
      <w:pBdr/>
      <w:spacing/>
      <w:ind/>
    </w:pPr>
  </w:style>
  <w:style w:type="paragraph" w:styleId="902">
    <w:name w:val="table of figures"/>
    <w:basedOn w:val="904"/>
    <w:next w:val="904"/>
    <w:uiPriority w:val="99"/>
    <w:unhideWhenUsed/>
    <w:pPr>
      <w:pBdr/>
      <w:spacing w:after="0" w:afterAutospacing="0"/>
      <w:ind/>
    </w:pPr>
  </w:style>
  <w:style w:type="table" w:styleId="903">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4" w:default="1">
    <w:name w:val="Normal"/>
    <w:pPr>
      <w:pBdr/>
      <w:spacing/>
      <w:ind/>
    </w:pPr>
  </w:style>
  <w:style w:type="paragraph" w:styleId="905">
    <w:name w:val="Heading 1"/>
    <w:basedOn w:val="904"/>
    <w:next w:val="904"/>
    <w:pPr>
      <w:keepNext w:val="true"/>
      <w:keepLines w:val="true"/>
      <w:pageBreakBefore w:val="false"/>
      <w:pBdr/>
      <w:spacing w:after="120" w:before="480"/>
      <w:ind/>
    </w:pPr>
    <w:rPr>
      <w:b/>
      <w:sz w:val="48"/>
      <w:szCs w:val="48"/>
    </w:rPr>
  </w:style>
  <w:style w:type="paragraph" w:styleId="906">
    <w:name w:val="Heading 2"/>
    <w:basedOn w:val="904"/>
    <w:next w:val="904"/>
    <w:pPr>
      <w:keepNext w:val="true"/>
      <w:keepLines w:val="true"/>
      <w:pageBreakBefore w:val="false"/>
      <w:pBdr/>
      <w:spacing w:after="80" w:before="360"/>
      <w:ind/>
    </w:pPr>
    <w:rPr>
      <w:b/>
      <w:sz w:val="36"/>
      <w:szCs w:val="36"/>
    </w:rPr>
  </w:style>
  <w:style w:type="paragraph" w:styleId="907">
    <w:name w:val="Heading 3"/>
    <w:basedOn w:val="904"/>
    <w:next w:val="904"/>
    <w:pPr>
      <w:keepNext w:val="true"/>
      <w:keepLines w:val="true"/>
      <w:pageBreakBefore w:val="false"/>
      <w:pBdr/>
      <w:spacing w:after="80" w:before="280"/>
      <w:ind/>
    </w:pPr>
    <w:rPr>
      <w:b/>
      <w:sz w:val="28"/>
      <w:szCs w:val="28"/>
    </w:rPr>
  </w:style>
  <w:style w:type="paragraph" w:styleId="908">
    <w:name w:val="Heading 4"/>
    <w:basedOn w:val="904"/>
    <w:next w:val="904"/>
    <w:pPr>
      <w:keepNext w:val="true"/>
      <w:keepLines w:val="true"/>
      <w:pageBreakBefore w:val="false"/>
      <w:pBdr/>
      <w:spacing w:after="40" w:before="240"/>
      <w:ind/>
    </w:pPr>
    <w:rPr>
      <w:b/>
      <w:sz w:val="24"/>
      <w:szCs w:val="24"/>
    </w:rPr>
  </w:style>
  <w:style w:type="paragraph" w:styleId="909">
    <w:name w:val="Heading 5"/>
    <w:basedOn w:val="904"/>
    <w:next w:val="904"/>
    <w:pPr>
      <w:keepNext w:val="true"/>
      <w:keepLines w:val="true"/>
      <w:pageBreakBefore w:val="false"/>
      <w:pBdr/>
      <w:spacing w:after="40" w:before="220"/>
      <w:ind/>
    </w:pPr>
    <w:rPr>
      <w:b/>
      <w:sz w:val="22"/>
      <w:szCs w:val="22"/>
    </w:rPr>
  </w:style>
  <w:style w:type="paragraph" w:styleId="910">
    <w:name w:val="Heading 6"/>
    <w:basedOn w:val="904"/>
    <w:next w:val="904"/>
    <w:pPr>
      <w:keepNext w:val="true"/>
      <w:keepLines w:val="true"/>
      <w:pageBreakBefore w:val="false"/>
      <w:pBdr/>
      <w:spacing w:after="40" w:before="200"/>
      <w:ind/>
    </w:pPr>
    <w:rPr>
      <w:b/>
      <w:sz w:val="20"/>
      <w:szCs w:val="20"/>
    </w:rPr>
  </w:style>
  <w:style w:type="paragraph" w:styleId="911">
    <w:name w:val="Title"/>
    <w:basedOn w:val="904"/>
    <w:next w:val="904"/>
    <w:pPr>
      <w:keepNext w:val="true"/>
      <w:keepLines w:val="true"/>
      <w:pageBreakBefore w:val="false"/>
      <w:pBdr/>
      <w:spacing w:after="120" w:before="480"/>
      <w:ind/>
    </w:pPr>
    <w:rPr>
      <w:b/>
      <w:sz w:val="72"/>
      <w:szCs w:val="72"/>
    </w:rPr>
  </w:style>
  <w:style w:type="paragraph" w:styleId="912">
    <w:name w:val="Subtitle"/>
    <w:basedOn w:val="904"/>
    <w:next w:val="904"/>
    <w:pPr>
      <w:keepNext w:val="true"/>
      <w:keepLines w:val="true"/>
      <w:pageBreakBefore w:val="false"/>
      <w:pBdr/>
      <w:spacing w:after="80" w:before="360"/>
      <w:ind/>
    </w:pPr>
    <w:rPr>
      <w:rFonts w:ascii="Georgia" w:hAnsi="Georgia" w:eastAsia="Georgia" w:cs="Georgia"/>
      <w:i/>
      <w:color w:val="666666"/>
      <w:sz w:val="48"/>
      <w:szCs w:val="48"/>
    </w:rPr>
  </w:style>
  <w:style w:type="table" w:styleId="913">
    <w:name w:val="StGen0"/>
    <w:basedOn w:val="903"/>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image" Target="media/image2.jpg"/><Relationship Id="rId11" Type="http://schemas.openxmlformats.org/officeDocument/2006/relationships/image" Target="media/image3.jpg"/><Relationship Id="rId12" Type="http://schemas.openxmlformats.org/officeDocument/2006/relationships/hyperlink" Target="https://app.pix.fr/campagnes/DSFXMK642/presentation" TargetMode="External"/><Relationship Id="rId13" Type="http://schemas.openxmlformats.org/officeDocument/2006/relationships/hyperlink" Target="https://sante.gouv.fr/IMG/pdf/20240205_synthese-numerique-sante.pdf" TargetMode="External"/><Relationship Id="rId14" Type="http://schemas.openxmlformats.org/officeDocument/2006/relationships/hyperlink" Target="https://www.assemblee-nationale.fr/dyn/17/textes/l17b1907_projet-loi#D_Article_31" TargetMode="External"/><Relationship Id="rId15" Type="http://schemas.openxmlformats.org/officeDocument/2006/relationships/comments" Target="comments.xml" /><Relationship Id="rId16" Type="http://schemas.microsoft.com/office/2011/relationships/commentsExtended" Target="commentsExtended.xml" /><Relationship Id="rId17" Type="http://schemas.microsoft.com/office/2016/09/relationships/commentsIds" Target="commentsId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3</cp:revision>
  <dcterms:modified xsi:type="dcterms:W3CDTF">2025-10-29T10:02:24Z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